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8A" w:rsidRDefault="00814A8A" w:rsidP="00814A8A">
      <w:pPr>
        <w:rPr>
          <w:rFonts w:ascii="Times New Roman" w:hAnsi="Times New Roman" w:cs="Times New Roman"/>
          <w:sz w:val="28"/>
          <w:szCs w:val="28"/>
        </w:rPr>
      </w:pPr>
      <w:r w:rsidRPr="00E6790A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am very pleased to nominate</w:t>
      </w:r>
      <w:r w:rsidRPr="00E6790A">
        <w:rPr>
          <w:rFonts w:ascii="Times New Roman" w:hAnsi="Times New Roman" w:cs="Times New Roman"/>
          <w:sz w:val="28"/>
          <w:szCs w:val="28"/>
        </w:rPr>
        <w:t xml:space="preserve"> Jeffrey W. Culver for the Roger W. Jones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6790A">
        <w:rPr>
          <w:rFonts w:ascii="Times New Roman" w:hAnsi="Times New Roman" w:cs="Times New Roman"/>
          <w:sz w:val="28"/>
          <w:szCs w:val="28"/>
        </w:rPr>
        <w:t xml:space="preserve">ward for Executive Leadership.  </w:t>
      </w:r>
      <w:r>
        <w:rPr>
          <w:rFonts w:ascii="Times New Roman" w:hAnsi="Times New Roman" w:cs="Times New Roman"/>
          <w:sz w:val="28"/>
          <w:szCs w:val="28"/>
        </w:rPr>
        <w:t xml:space="preserve">Jeff Culver is a superb, resourceful, and forward-thinking leader who is committed to public service of the highest order.  I can think of no one more deserving of the Roger W. Jones Award for Executive Leadership.                        </w:t>
      </w:r>
    </w:p>
    <w:p w:rsidR="00814A8A" w:rsidRPr="00E6790A" w:rsidRDefault="00814A8A" w:rsidP="00814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Culver embodies the leadership, managerial excellence, and devotion to public service that the award seeks to recognize.  Mr</w:t>
      </w:r>
      <w:r w:rsidRPr="00E6790A">
        <w:rPr>
          <w:rFonts w:ascii="Times New Roman" w:hAnsi="Times New Roman" w:cs="Times New Roman"/>
          <w:sz w:val="28"/>
          <w:szCs w:val="28"/>
        </w:rPr>
        <w:t xml:space="preserve">. Culver is the Principal Deputy Assistant Secretary (PDAS) for </w:t>
      </w:r>
      <w:r>
        <w:rPr>
          <w:rFonts w:ascii="Times New Roman" w:hAnsi="Times New Roman" w:cs="Times New Roman"/>
          <w:sz w:val="28"/>
          <w:szCs w:val="28"/>
        </w:rPr>
        <w:t xml:space="preserve">the Bureau of </w:t>
      </w:r>
      <w:r w:rsidRPr="00E6790A">
        <w:rPr>
          <w:rFonts w:ascii="Times New Roman" w:hAnsi="Times New Roman" w:cs="Times New Roman"/>
          <w:sz w:val="28"/>
          <w:szCs w:val="28"/>
        </w:rPr>
        <w:t>Diplomatic Security</w:t>
      </w:r>
      <w:r>
        <w:rPr>
          <w:rFonts w:ascii="Times New Roman" w:hAnsi="Times New Roman" w:cs="Times New Roman"/>
          <w:sz w:val="28"/>
          <w:szCs w:val="28"/>
        </w:rPr>
        <w:t xml:space="preserve"> (DS)</w:t>
      </w:r>
      <w:r w:rsidRPr="00E6790A">
        <w:rPr>
          <w:rFonts w:ascii="Times New Roman" w:hAnsi="Times New Roman" w:cs="Times New Roman"/>
          <w:sz w:val="28"/>
          <w:szCs w:val="28"/>
        </w:rPr>
        <w:t xml:space="preserve"> and Director of the Diplomatic Security Service (DSS).  As the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E6790A">
        <w:rPr>
          <w:rFonts w:ascii="Times New Roman" w:hAnsi="Times New Roman" w:cs="Times New Roman"/>
          <w:sz w:val="28"/>
          <w:szCs w:val="28"/>
        </w:rPr>
        <w:t xml:space="preserve">DAS, he is the </w:t>
      </w:r>
      <w:r>
        <w:rPr>
          <w:rFonts w:ascii="Times New Roman" w:hAnsi="Times New Roman" w:cs="Times New Roman"/>
          <w:sz w:val="28"/>
          <w:szCs w:val="28"/>
        </w:rPr>
        <w:t xml:space="preserve">chief operating </w:t>
      </w:r>
      <w:r w:rsidRPr="00E6790A">
        <w:rPr>
          <w:rFonts w:ascii="Times New Roman" w:hAnsi="Times New Roman" w:cs="Times New Roman"/>
          <w:sz w:val="28"/>
          <w:szCs w:val="28"/>
        </w:rPr>
        <w:t xml:space="preserve">officer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Pr="00E6790A">
        <w:rPr>
          <w:rFonts w:ascii="Times New Roman" w:hAnsi="Times New Roman" w:cs="Times New Roman"/>
          <w:sz w:val="28"/>
          <w:szCs w:val="28"/>
        </w:rPr>
        <w:t>the security and law enforcement arm of the Department of State.  D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6790A">
        <w:rPr>
          <w:rFonts w:ascii="Times New Roman" w:hAnsi="Times New Roman" w:cs="Times New Roman"/>
          <w:sz w:val="28"/>
          <w:szCs w:val="28"/>
        </w:rPr>
        <w:t xml:space="preserve"> is responsible for providing a safe and secure environment for the conduct of U.S. foreign policy throughout the world.  </w:t>
      </w:r>
    </w:p>
    <w:p w:rsidR="00814A8A" w:rsidRDefault="00814A8A" w:rsidP="00814A8A">
      <w:pP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Mr. Culver advises</w:t>
      </w: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the Assistant Secretary for Diplomatic Security on the formulation and implementation of security programs and policies for the Department of State and the foreign affairs community.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 He is responsible for providing security to 270 U.S. diplomatic missions, protection for U.S. personnel and families serving in those posts, and security at100 domestic locations.          </w:t>
      </w:r>
    </w:p>
    <w:p w:rsidR="00814A8A" w:rsidRDefault="00814A8A" w:rsidP="00814A8A">
      <w:pP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He</w:t>
      </w: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provides direct management oversight to the following DSS elements:</w:t>
      </w:r>
    </w:p>
    <w:p w:rsidR="00814A8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Assistant Director for International Programs</w:t>
      </w:r>
    </w:p>
    <w:p w:rsidR="00814A8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Assistant Director for Countermeasures</w:t>
      </w:r>
    </w:p>
    <w:p w:rsidR="00814A8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Executive Director</w:t>
      </w:r>
    </w:p>
    <w:p w:rsidR="00814A8A" w:rsidRPr="00E6790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Assistant Director for Training</w:t>
      </w:r>
    </w:p>
    <w:p w:rsidR="00814A8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Assistant Director for Security Infrastructure</w:t>
      </w:r>
    </w:p>
    <w:p w:rsidR="00814A8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Assistant Director for Domestic Operations</w:t>
      </w:r>
    </w:p>
    <w:p w:rsidR="00814A8A" w:rsidRPr="00E6790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Assistant Director for Threat Investigations and Analysis</w:t>
      </w:r>
    </w:p>
    <w:p w:rsidR="00814A8A" w:rsidRPr="00E6790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E6790A">
        <w:rPr>
          <w:rFonts w:ascii="Times New Roman" w:eastAsia="Symbol" w:hAnsi="Times New Roman" w:cs="Times New Roman"/>
          <w:snapToGrid w:val="0"/>
          <w:color w:val="000000"/>
          <w:sz w:val="28"/>
          <w:szCs w:val="28"/>
        </w:rPr>
        <w:t xml:space="preserve">      </w:t>
      </w: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Overseas Security Advisory Council </w:t>
      </w:r>
    </w:p>
    <w:p w:rsidR="00814A8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E6790A">
        <w:rPr>
          <w:rFonts w:ascii="Times New Roman" w:eastAsia="Symbol" w:hAnsi="Times New Roman" w:cs="Times New Roman"/>
          <w:snapToGrid w:val="0"/>
          <w:color w:val="000000"/>
          <w:sz w:val="28"/>
          <w:szCs w:val="28"/>
        </w:rPr>
        <w:t xml:space="preserve">      </w:t>
      </w: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DS Command Center</w:t>
      </w:r>
    </w:p>
    <w:p w:rsidR="00814A8A" w:rsidRPr="00E6790A" w:rsidRDefault="00814A8A" w:rsidP="00814A8A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E6790A">
        <w:rPr>
          <w:rFonts w:ascii="Times New Roman" w:eastAsia="Symbol" w:hAnsi="Times New Roman" w:cs="Times New Roman"/>
          <w:snapToGrid w:val="0"/>
          <w:color w:val="000000"/>
          <w:sz w:val="28"/>
          <w:szCs w:val="28"/>
        </w:rPr>
        <w:t xml:space="preserve">      </w:t>
      </w: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DS Public Affairs</w:t>
      </w:r>
    </w:p>
    <w:p w:rsidR="00814A8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</w:p>
    <w:p w:rsidR="00814A8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</w:p>
    <w:p w:rsidR="00814A8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</w:p>
    <w:p w:rsidR="00814A8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</w:p>
    <w:p w:rsidR="00814A8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</w:p>
    <w:p w:rsidR="00814A8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</w:p>
    <w:p w:rsidR="00814A8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</w:p>
    <w:p w:rsidR="00814A8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</w:p>
    <w:p w:rsidR="00814A8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lastRenderedPageBreak/>
        <w:t>Mr. Culver’s responsibilities in</w:t>
      </w: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critical missions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includ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e</w:t>
      </w:r>
      <w:r w:rsidRPr="00E6790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the following:</w:t>
      </w:r>
    </w:p>
    <w:p w:rsidR="00814A8A" w:rsidRPr="00E6790A" w:rsidRDefault="00814A8A" w:rsidP="00814A8A">
      <w:pPr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</w:p>
    <w:p w:rsidR="00814A8A" w:rsidRPr="00316DD1" w:rsidRDefault="00814A8A" w:rsidP="00814A8A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ind w:left="90" w:firstLine="27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316DD1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Oversees the worldwide law enforcement and security operations of the Diplomatic Security Service.</w:t>
      </w:r>
    </w:p>
    <w:p w:rsidR="00814A8A" w:rsidRPr="001F58AA" w:rsidRDefault="00814A8A" w:rsidP="00814A8A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Develops and executes Department-wide security policies and</w:t>
      </w:r>
    </w:p>
    <w:p w:rsidR="00814A8A" w:rsidRPr="001F58AA" w:rsidRDefault="00814A8A" w:rsidP="00814A8A">
      <w:pPr>
        <w:tabs>
          <w:tab w:val="num" w:pos="720"/>
        </w:tabs>
        <w:spacing w:after="0" w:line="240" w:lineRule="auto"/>
        <w:ind w:left="360" w:firstLine="360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proofErr w:type="gramStart"/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programs</w:t>
      </w:r>
      <w:proofErr w:type="gramEnd"/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.</w:t>
      </w:r>
    </w:p>
    <w:p w:rsidR="00814A8A" w:rsidRPr="009D73D5" w:rsidRDefault="00814A8A" w:rsidP="00814A8A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9D73D5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Manages the day-to-day operations of the Department’s security programs at all U.S. diplomatic and consular posts.</w:t>
      </w:r>
    </w:p>
    <w:p w:rsidR="00814A8A" w:rsidRPr="001F58AA" w:rsidRDefault="00814A8A" w:rsidP="00814A8A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Supervises the DSS Legal Counsel, who provides legal support to the Bureau in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legislative, regulatory, and procedural matters, in coordination with the Office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of the Legal Adviser (L).</w:t>
      </w:r>
    </w:p>
    <w:p w:rsidR="00814A8A" w:rsidRPr="001F58AA" w:rsidRDefault="00814A8A" w:rsidP="00814A8A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</w:pP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Co-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c</w:t>
      </w: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hairs the Secretary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’s</w:t>
      </w: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Overseas Security Advisory Council (OSAC), which promotes cooperation between U.S. business and private sector interests abroad and the Department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’s</w:t>
      </w: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security programs.</w:t>
      </w:r>
    </w:p>
    <w:p w:rsidR="00814A8A" w:rsidRPr="009D73D5" w:rsidRDefault="00814A8A" w:rsidP="00814A8A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D73D5">
        <w:rPr>
          <w:rFonts w:ascii="Times New Roman" w:eastAsia="Arial Unicode MS" w:hAnsi="Times New Roman" w:cs="Times New Roman"/>
          <w:color w:val="000000"/>
          <w:sz w:val="28"/>
          <w:szCs w:val="28"/>
        </w:rPr>
        <w:t>Provides for regular and timely interchange of information between the U.S. private sector and the Department concerning developments in the security environment abroad.</w:t>
      </w:r>
    </w:p>
    <w:p w:rsidR="00814A8A" w:rsidRPr="001F58AA" w:rsidRDefault="00814A8A" w:rsidP="00814A8A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Recommends methods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1F58AA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and provides material for coordinating security planning and implementation of security programs.</w:t>
      </w:r>
    </w:p>
    <w:p w:rsidR="00814A8A" w:rsidRPr="009D73D5" w:rsidRDefault="00814A8A" w:rsidP="00814A8A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3D5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Develops and disseminates materials to the media and the public on 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the </w:t>
      </w:r>
      <w:r w:rsidRPr="009D73D5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Department</w:t>
      </w:r>
      <w:r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’s</w:t>
      </w:r>
      <w:r w:rsidRPr="009D73D5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 security programs.</w:t>
      </w:r>
    </w:p>
    <w:p w:rsidR="00755C72" w:rsidRDefault="00814A8A"/>
    <w:sectPr w:rsidR="00755C72" w:rsidSect="006B0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2B2"/>
    <w:multiLevelType w:val="hybridMultilevel"/>
    <w:tmpl w:val="49D6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A8A"/>
    <w:rsid w:val="006074B2"/>
    <w:rsid w:val="006B05FA"/>
    <w:rsid w:val="00814A8A"/>
    <w:rsid w:val="008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2423</Characters>
  <Application>Microsoft Office Word</Application>
  <DocSecurity>0</DocSecurity>
  <Lines>20</Lines>
  <Paragraphs>5</Paragraphs>
  <ScaleCrop>false</ScaleCrop>
  <Company>U.S. Department of State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State</dc:creator>
  <cp:keywords/>
  <dc:description/>
  <cp:lastModifiedBy>Department of State</cp:lastModifiedBy>
  <cp:revision>1</cp:revision>
  <dcterms:created xsi:type="dcterms:W3CDTF">2011-04-22T13:24:00Z</dcterms:created>
  <dcterms:modified xsi:type="dcterms:W3CDTF">2011-04-22T13:32:00Z</dcterms:modified>
</cp:coreProperties>
</file>